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D5763D1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r w:rsidRPr="00E36239">
        <w:rPr>
          <w:b/>
          <w:bCs/>
        </w:rPr>
        <w:t xml:space="preserve">Tapibel </w:t>
      </w:r>
      <w:r w:rsidR="001F0A67">
        <w:rPr>
          <w:b/>
          <w:bCs/>
        </w:rPr>
        <w:t>Crossline</w:t>
      </w:r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39FB4F0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Tapibel </w:t>
      </w:r>
      <w:r w:rsidR="001F0A67">
        <w:rPr>
          <w:rFonts w:ascii="Times New Roman" w:eastAsia="Times New Roman" w:hAnsi="Times New Roman" w:cs="Times New Roman"/>
          <w:sz w:val="24"/>
          <w:szCs w:val="24"/>
          <w:lang w:eastAsia="fi-FI"/>
        </w:rPr>
        <w:t>Crossline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EC4D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EC4D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C4D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Ecofuse ftalaatti- ja lateksivapaa sideaine. Greenbase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1F0A67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C4DA6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592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2025-05-28T12:39:00Z</dcterms:created>
  <dcterms:modified xsi:type="dcterms:W3CDTF">2025-07-29T11:17:00Z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